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FE" w:rsidRDefault="00911DF7">
      <w:pPr>
        <w:ind w:left="-990" w:right="-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Pearl City Library Board Minutes</w:t>
      </w:r>
    </w:p>
    <w:p w:rsidR="00C642FE" w:rsidRDefault="00911DF7">
      <w:pPr>
        <w:ind w:left="-990" w:right="-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September 5, 2023</w:t>
      </w:r>
    </w:p>
    <w:p w:rsidR="00C642FE" w:rsidRDefault="00911DF7">
      <w:pPr>
        <w:ind w:left="-990" w:right="-720"/>
        <w:jc w:val="center"/>
        <w:rPr>
          <w:sz w:val="16"/>
          <w:szCs w:val="16"/>
        </w:rPr>
      </w:pPr>
      <w:r>
        <w:t xml:space="preserve">    ________________________________________________________________________________________</w:t>
      </w:r>
      <w:r>
        <w:rPr>
          <w:b/>
          <w:sz w:val="16"/>
          <w:szCs w:val="16"/>
        </w:rPr>
        <w:tab/>
      </w:r>
    </w:p>
    <w:p w:rsidR="00C642FE" w:rsidRDefault="00911DF7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>Board Members present:</w:t>
      </w:r>
      <w:r>
        <w:rPr>
          <w:sz w:val="16"/>
          <w:szCs w:val="16"/>
        </w:rPr>
        <w:t>, Sally Brandt,, Rick Miche, Mike Schmidt,  Ellen von Schrott</w:t>
      </w:r>
    </w:p>
    <w:p w:rsidR="00C642FE" w:rsidRDefault="00911DF7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 xml:space="preserve">Board Members absent: </w:t>
      </w:r>
      <w:r>
        <w:rPr>
          <w:sz w:val="16"/>
          <w:szCs w:val="16"/>
        </w:rPr>
        <w:t xml:space="preserve"> Rusty Block, Marv Edler Josh Linnemann </w:t>
      </w:r>
    </w:p>
    <w:p w:rsidR="00C642FE" w:rsidRDefault="00911DF7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>Library Director:</w:t>
      </w:r>
      <w:r>
        <w:rPr>
          <w:sz w:val="16"/>
          <w:szCs w:val="16"/>
        </w:rPr>
        <w:t xml:space="preserve"> Pennie Miller</w:t>
      </w:r>
    </w:p>
    <w:p w:rsidR="00C642FE" w:rsidRDefault="00911DF7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>Public</w:t>
      </w:r>
      <w:r>
        <w:rPr>
          <w:sz w:val="16"/>
          <w:szCs w:val="16"/>
        </w:rPr>
        <w:t>: No public</w:t>
      </w:r>
    </w:p>
    <w:p w:rsidR="00C642FE" w:rsidRDefault="00911DF7">
      <w:pPr>
        <w:ind w:left="-720" w:right="-810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</w:t>
      </w:r>
    </w:p>
    <w:p w:rsidR="00C642FE" w:rsidRDefault="00911DF7">
      <w:pPr>
        <w:ind w:left="-720" w:right="-810"/>
        <w:rPr>
          <w:sz w:val="16"/>
          <w:szCs w:val="16"/>
        </w:rPr>
      </w:pPr>
      <w:r>
        <w:rPr>
          <w:sz w:val="16"/>
          <w:szCs w:val="16"/>
        </w:rPr>
        <w:t xml:space="preserve">Regular Board Meeting was called to order </w:t>
      </w:r>
      <w:r>
        <w:rPr>
          <w:sz w:val="16"/>
          <w:szCs w:val="16"/>
        </w:rPr>
        <w:t>at 7:00 p.m.</w:t>
      </w:r>
    </w:p>
    <w:p w:rsidR="00C642FE" w:rsidRDefault="00911DF7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 xml:space="preserve">Public Comment: </w:t>
      </w:r>
      <w:r>
        <w:rPr>
          <w:sz w:val="16"/>
          <w:szCs w:val="16"/>
        </w:rPr>
        <w:t>No public comment .</w:t>
      </w:r>
    </w:p>
    <w:p w:rsidR="00C642FE" w:rsidRDefault="00911DF7">
      <w:pPr>
        <w:ind w:left="-720" w:right="-810"/>
        <w:rPr>
          <w:sz w:val="16"/>
          <w:szCs w:val="16"/>
        </w:rPr>
      </w:pPr>
      <w:r>
        <w:rPr>
          <w:b/>
          <w:sz w:val="16"/>
          <w:szCs w:val="16"/>
        </w:rPr>
        <w:t xml:space="preserve">Secretary’s Report: </w:t>
      </w:r>
      <w:r>
        <w:rPr>
          <w:sz w:val="16"/>
          <w:szCs w:val="16"/>
        </w:rPr>
        <w:t>Mike</w:t>
      </w:r>
      <w:r>
        <w:rPr>
          <w:sz w:val="16"/>
          <w:szCs w:val="16"/>
        </w:rPr>
        <w:t xml:space="preserve"> made a Motion to accept the Secretary’s Report  </w:t>
      </w:r>
      <w:bookmarkStart w:id="0" w:name="_GoBack"/>
      <w:bookmarkEnd w:id="0"/>
      <w:r>
        <w:rPr>
          <w:sz w:val="16"/>
          <w:szCs w:val="16"/>
        </w:rPr>
        <w:t>Minutes as written for the August 1, 2023  Regular Board Meeting. RIck  seconded and the Motion carried.</w:t>
      </w:r>
    </w:p>
    <w:p w:rsidR="00C642FE" w:rsidRDefault="00911DF7">
      <w:pPr>
        <w:ind w:left="-720" w:right="-810"/>
        <w:rPr>
          <w:b/>
          <w:sz w:val="16"/>
          <w:szCs w:val="16"/>
        </w:rPr>
      </w:pPr>
      <w:r>
        <w:rPr>
          <w:b/>
          <w:sz w:val="16"/>
          <w:szCs w:val="16"/>
        </w:rPr>
        <w:t>Treasurer’s Report: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Stateme</w:t>
      </w:r>
      <w:r>
        <w:rPr>
          <w:b/>
          <w:sz w:val="16"/>
          <w:szCs w:val="16"/>
        </w:rPr>
        <w:t>nt of Financial Position as of September 5, 2023</w:t>
      </w:r>
    </w:p>
    <w:p w:rsidR="00C642FE" w:rsidRDefault="00C642FE">
      <w:pPr>
        <w:ind w:left="-720" w:right="-810"/>
        <w:rPr>
          <w:b/>
          <w:sz w:val="16"/>
          <w:szCs w:val="16"/>
        </w:rPr>
      </w:pPr>
    </w:p>
    <w:tbl>
      <w:tblPr>
        <w:tblStyle w:val="a"/>
        <w:tblW w:w="10680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1140"/>
        <w:gridCol w:w="2670"/>
        <w:gridCol w:w="1155"/>
        <w:gridCol w:w="1350"/>
        <w:gridCol w:w="1635"/>
      </w:tblGrid>
      <w:tr w:rsidR="00C642FE">
        <w:trPr>
          <w:trHeight w:val="288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Operating Funds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Building/Expansion Fund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Totals</w:t>
            </w:r>
          </w:p>
        </w:tc>
      </w:tr>
      <w:tr w:rsidR="00C642FE">
        <w:trPr>
          <w:trHeight w:val="273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Checking - State Bank of Pearl City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C4D8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$689.34      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Bank of Pearl City CD 51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$139,388.36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Column 1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$87,675.86</w:t>
            </w:r>
          </w:p>
        </w:tc>
      </w:tr>
      <w:tr w:rsidR="00C642FE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Memorial Fund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$2,472.54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Bank of Pearl City CD 52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$137,322.34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Column 2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$276,710.70</w:t>
            </w:r>
          </w:p>
        </w:tc>
      </w:tr>
      <w:tr w:rsidR="00C642FE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Money Market 13M0038-5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$84,483.98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642FE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Petty Cash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$30.00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642FE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642FE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C642FE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C642FE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Total Column 1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$87,675.86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Total Column 2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$276,710.70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Grand Total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2FE" w:rsidRDefault="00911DF7">
            <w:pPr>
              <w:widowControl w:val="0"/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$364,386.56</w:t>
            </w:r>
          </w:p>
        </w:tc>
      </w:tr>
    </w:tbl>
    <w:p w:rsidR="00C642FE" w:rsidRDefault="00911DF7">
      <w:pPr>
        <w:ind w:left="-720" w:right="-810"/>
        <w:rPr>
          <w:sz w:val="16"/>
          <w:szCs w:val="16"/>
        </w:rPr>
      </w:pPr>
      <w:r>
        <w:rPr>
          <w:sz w:val="16"/>
          <w:szCs w:val="16"/>
        </w:rPr>
        <w:t xml:space="preserve">Ellen </w:t>
      </w:r>
      <w:r>
        <w:rPr>
          <w:sz w:val="16"/>
          <w:szCs w:val="16"/>
        </w:rPr>
        <w:t>made a Motion to approve the Treasurer’s report and pay the bill from September.  Mike seconded and the Motion carried.     .</w:t>
      </w:r>
    </w:p>
    <w:p w:rsidR="00C642FE" w:rsidRDefault="00911DF7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C642FE" w:rsidRDefault="00911DF7">
      <w:pPr>
        <w:ind w:left="-720"/>
        <w:rPr>
          <w:b/>
          <w:sz w:val="16"/>
          <w:szCs w:val="16"/>
        </w:rPr>
      </w:pPr>
      <w:r>
        <w:rPr>
          <w:b/>
          <w:sz w:val="16"/>
          <w:szCs w:val="16"/>
        </w:rPr>
        <w:t>Committee Reports</w:t>
      </w:r>
    </w:p>
    <w:p w:rsidR="00C642FE" w:rsidRDefault="00911DF7">
      <w:pPr>
        <w:numPr>
          <w:ilvl w:val="0"/>
          <w:numId w:val="1"/>
        </w:numPr>
        <w:ind w:left="-360"/>
        <w:rPr>
          <w:b/>
          <w:sz w:val="16"/>
          <w:szCs w:val="16"/>
        </w:rPr>
      </w:pPr>
      <w:r>
        <w:rPr>
          <w:b/>
          <w:sz w:val="16"/>
          <w:szCs w:val="16"/>
        </w:rPr>
        <w:t>Finance Committee</w:t>
      </w:r>
      <w:r>
        <w:rPr>
          <w:sz w:val="16"/>
          <w:szCs w:val="16"/>
        </w:rPr>
        <w:t xml:space="preserve"> - Budget and Appropriations Ordinance will be reviewed at the October meeting.</w:t>
      </w:r>
    </w:p>
    <w:p w:rsidR="00C642FE" w:rsidRDefault="00911DF7">
      <w:pPr>
        <w:numPr>
          <w:ilvl w:val="0"/>
          <w:numId w:val="1"/>
        </w:numPr>
        <w:ind w:left="-360"/>
        <w:rPr>
          <w:sz w:val="16"/>
          <w:szCs w:val="16"/>
        </w:rPr>
      </w:pPr>
      <w:r>
        <w:rPr>
          <w:b/>
          <w:sz w:val="16"/>
          <w:szCs w:val="16"/>
        </w:rPr>
        <w:t>Build</w:t>
      </w:r>
      <w:r>
        <w:rPr>
          <w:b/>
          <w:sz w:val="16"/>
          <w:szCs w:val="16"/>
        </w:rPr>
        <w:t>ings &amp; Grounds</w:t>
      </w:r>
      <w:r>
        <w:rPr>
          <w:sz w:val="16"/>
          <w:szCs w:val="16"/>
        </w:rPr>
        <w:t xml:space="preserve"> -Lingle is still working on the schematic. </w:t>
      </w:r>
    </w:p>
    <w:p w:rsidR="00C642FE" w:rsidRDefault="00911DF7">
      <w:pPr>
        <w:numPr>
          <w:ilvl w:val="0"/>
          <w:numId w:val="1"/>
        </w:numPr>
        <w:ind w:left="-3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Director’s Report - </w:t>
      </w:r>
      <w:r>
        <w:rPr>
          <w:sz w:val="16"/>
          <w:szCs w:val="16"/>
        </w:rPr>
        <w:t>August 2023 Staff meeting agenda and August 2023 circulation report.  The Library will be closed on Friday, September 29, 2023 so that Pennie and Emily can attend PUG day.  Penn</w:t>
      </w:r>
      <w:r>
        <w:rPr>
          <w:sz w:val="16"/>
          <w:szCs w:val="16"/>
        </w:rPr>
        <w:t xml:space="preserve">ie will be </w:t>
      </w:r>
      <w:r w:rsidR="001C4D8E">
        <w:rPr>
          <w:sz w:val="16"/>
          <w:szCs w:val="16"/>
        </w:rPr>
        <w:t xml:space="preserve">taking PTO </w:t>
      </w:r>
      <w:r>
        <w:rPr>
          <w:sz w:val="16"/>
          <w:szCs w:val="16"/>
        </w:rPr>
        <w:t>from October 4-10, 2023.</w:t>
      </w:r>
    </w:p>
    <w:p w:rsidR="00C642FE" w:rsidRDefault="00911DF7">
      <w:pPr>
        <w:numPr>
          <w:ilvl w:val="0"/>
          <w:numId w:val="1"/>
        </w:numPr>
        <w:ind w:left="-360"/>
        <w:rPr>
          <w:sz w:val="16"/>
          <w:szCs w:val="16"/>
        </w:rPr>
      </w:pPr>
      <w:r>
        <w:rPr>
          <w:b/>
          <w:sz w:val="16"/>
          <w:szCs w:val="16"/>
        </w:rPr>
        <w:t>Personnel</w:t>
      </w:r>
      <w:r>
        <w:rPr>
          <w:sz w:val="16"/>
          <w:szCs w:val="16"/>
        </w:rPr>
        <w:t xml:space="preserve"> - none</w:t>
      </w:r>
    </w:p>
    <w:p w:rsidR="00C642FE" w:rsidRDefault="00911DF7">
      <w:pPr>
        <w:numPr>
          <w:ilvl w:val="0"/>
          <w:numId w:val="1"/>
        </w:numPr>
        <w:ind w:left="-360"/>
        <w:rPr>
          <w:sz w:val="16"/>
          <w:szCs w:val="16"/>
        </w:rPr>
      </w:pPr>
      <w:r>
        <w:rPr>
          <w:b/>
          <w:sz w:val="16"/>
          <w:szCs w:val="16"/>
        </w:rPr>
        <w:t>Policy &amp; Procedures</w:t>
      </w:r>
      <w:r>
        <w:rPr>
          <w:sz w:val="16"/>
          <w:szCs w:val="16"/>
        </w:rPr>
        <w:t xml:space="preserve"> - Policy needed for use of  the meeting room.  The Board  will continue working on Material Selection and Weeding policies at the October meeting. . Further work on Person</w:t>
      </w:r>
      <w:r>
        <w:rPr>
          <w:sz w:val="16"/>
          <w:szCs w:val="16"/>
        </w:rPr>
        <w:t>nel policy will continue.</w:t>
      </w:r>
    </w:p>
    <w:p w:rsidR="00C642FE" w:rsidRDefault="00911DF7">
      <w:pPr>
        <w:numPr>
          <w:ilvl w:val="0"/>
          <w:numId w:val="1"/>
        </w:numPr>
        <w:ind w:left="-360"/>
        <w:rPr>
          <w:sz w:val="16"/>
          <w:szCs w:val="16"/>
        </w:rPr>
      </w:pPr>
      <w:r>
        <w:rPr>
          <w:b/>
          <w:sz w:val="16"/>
          <w:szCs w:val="16"/>
        </w:rPr>
        <w:t>Programming</w:t>
      </w:r>
      <w:r>
        <w:rPr>
          <w:sz w:val="16"/>
          <w:szCs w:val="16"/>
        </w:rPr>
        <w:t xml:space="preserve"> </w:t>
      </w:r>
      <w:r w:rsidR="001C4D8E">
        <w:rPr>
          <w:sz w:val="16"/>
          <w:szCs w:val="16"/>
        </w:rPr>
        <w:t>–</w:t>
      </w:r>
      <w:r>
        <w:rPr>
          <w:sz w:val="16"/>
          <w:szCs w:val="16"/>
        </w:rPr>
        <w:t xml:space="preserve"> ILP</w:t>
      </w:r>
      <w:r w:rsidR="001C4D8E">
        <w:rPr>
          <w:sz w:val="16"/>
          <w:szCs w:val="16"/>
        </w:rPr>
        <w:t xml:space="preserve"> Season 3</w:t>
      </w:r>
      <w:r>
        <w:rPr>
          <w:sz w:val="16"/>
          <w:szCs w:val="16"/>
        </w:rPr>
        <w:t xml:space="preserve"> begins on September 6, 2023.  Review of Boulevard Bash.  Take</w:t>
      </w:r>
      <w:r w:rsidR="001C4D8E">
        <w:rPr>
          <w:sz w:val="16"/>
          <w:szCs w:val="16"/>
        </w:rPr>
        <w:t xml:space="preserve"> “n” </w:t>
      </w:r>
      <w:r>
        <w:rPr>
          <w:sz w:val="16"/>
          <w:szCs w:val="16"/>
        </w:rPr>
        <w:t>Make it crafts are available.</w:t>
      </w:r>
    </w:p>
    <w:p w:rsidR="001C4D8E" w:rsidRDefault="00911DF7">
      <w:pPr>
        <w:ind w:left="720" w:hanging="1440"/>
        <w:rPr>
          <w:sz w:val="16"/>
          <w:szCs w:val="16"/>
        </w:rPr>
      </w:pPr>
      <w:r>
        <w:rPr>
          <w:b/>
          <w:sz w:val="16"/>
          <w:szCs w:val="16"/>
        </w:rPr>
        <w:t xml:space="preserve">Old Business </w:t>
      </w:r>
      <w:r w:rsidR="001C4D8E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="001C4D8E">
        <w:rPr>
          <w:sz w:val="16"/>
          <w:szCs w:val="16"/>
        </w:rPr>
        <w:t xml:space="preserve">Marv and Pennie attended  Pearl City </w:t>
      </w:r>
      <w:r>
        <w:rPr>
          <w:sz w:val="16"/>
          <w:szCs w:val="16"/>
        </w:rPr>
        <w:t>TIF</w:t>
      </w:r>
      <w:r w:rsidR="001C4D8E">
        <w:rPr>
          <w:sz w:val="16"/>
          <w:szCs w:val="16"/>
        </w:rPr>
        <w:t xml:space="preserve"> meeting.  FY2023 Decennial Committee Report was filed Aug. 10, 2023.</w:t>
      </w:r>
    </w:p>
    <w:p w:rsidR="00C642FE" w:rsidRDefault="001C4D8E">
      <w:pPr>
        <w:ind w:left="720" w:hanging="1440"/>
        <w:rPr>
          <w:sz w:val="16"/>
          <w:szCs w:val="16"/>
        </w:rPr>
      </w:pPr>
      <w:r w:rsidRPr="00911DF7">
        <w:rPr>
          <w:sz w:val="16"/>
          <w:szCs w:val="16"/>
        </w:rPr>
        <w:t>FY2023 IPLAR was submitted Aug</w:t>
      </w:r>
      <w:r w:rsidRPr="001C4D8E">
        <w:rPr>
          <w:sz w:val="16"/>
          <w:szCs w:val="16"/>
        </w:rPr>
        <w:t>.</w:t>
      </w:r>
      <w:r>
        <w:rPr>
          <w:sz w:val="16"/>
          <w:szCs w:val="16"/>
        </w:rPr>
        <w:t xml:space="preserve"> 29, 2023</w:t>
      </w:r>
      <w:r w:rsidR="00911DF7">
        <w:rPr>
          <w:sz w:val="16"/>
          <w:szCs w:val="16"/>
        </w:rPr>
        <w:t>.  FY2023 Interlibrary Loan &amp; Reciprocal Borrowing Report submitted Aug. 3, 2023.</w:t>
      </w:r>
      <w:r w:rsidR="00911DF7">
        <w:rPr>
          <w:sz w:val="16"/>
          <w:szCs w:val="16"/>
        </w:rPr>
        <w:t xml:space="preserve"> </w:t>
      </w:r>
    </w:p>
    <w:p w:rsidR="00C642FE" w:rsidRDefault="00911DF7">
      <w:pPr>
        <w:ind w:left="720" w:hanging="1440"/>
        <w:rPr>
          <w:sz w:val="16"/>
          <w:szCs w:val="16"/>
        </w:rPr>
      </w:pPr>
      <w:r>
        <w:rPr>
          <w:b/>
          <w:sz w:val="16"/>
          <w:szCs w:val="16"/>
        </w:rPr>
        <w:t xml:space="preserve">New Business - </w:t>
      </w:r>
      <w:r>
        <w:rPr>
          <w:sz w:val="16"/>
          <w:szCs w:val="16"/>
        </w:rPr>
        <w:t xml:space="preserve"> The Library website is up and running.  Meeti</w:t>
      </w:r>
      <w:r>
        <w:rPr>
          <w:sz w:val="16"/>
          <w:szCs w:val="16"/>
        </w:rPr>
        <w:t>ng dates are on the site.  Pennie will load the Board Meeting Minutes and a link</w:t>
      </w:r>
    </w:p>
    <w:p w:rsidR="00C642FE" w:rsidRDefault="00911DF7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 to the Facebook page on the website.  Pennie will contact Michael about email addresses for the Board members to be listed on the website.  The Lanark Library is starting a b</w:t>
      </w:r>
      <w:r>
        <w:rPr>
          <w:sz w:val="16"/>
          <w:szCs w:val="16"/>
        </w:rPr>
        <w:t>ook club and a suggestion was made to partner with them to coordinate reading the same book with their Book Club.</w:t>
      </w:r>
    </w:p>
    <w:p w:rsidR="00C642FE" w:rsidRDefault="00C642FE">
      <w:pPr>
        <w:ind w:left="-720"/>
        <w:rPr>
          <w:sz w:val="16"/>
          <w:szCs w:val="16"/>
        </w:rPr>
      </w:pPr>
    </w:p>
    <w:p w:rsidR="00C642FE" w:rsidRDefault="00C642FE">
      <w:pPr>
        <w:ind w:left="720" w:hanging="1440"/>
        <w:rPr>
          <w:sz w:val="16"/>
          <w:szCs w:val="16"/>
        </w:rPr>
      </w:pPr>
    </w:p>
    <w:p w:rsidR="00C642FE" w:rsidRDefault="00911DF7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Next Board Meeting - </w:t>
      </w:r>
      <w:r>
        <w:rPr>
          <w:sz w:val="16"/>
          <w:szCs w:val="16"/>
        </w:rPr>
        <w:t>Tuesday, October 3, 2023  at 7:00 p.m.  Sally made a Motion to adjourn the meeting at 8:33  p.m.  Mike seconded and th</w:t>
      </w:r>
      <w:r>
        <w:rPr>
          <w:sz w:val="16"/>
          <w:szCs w:val="16"/>
        </w:rPr>
        <w:t xml:space="preserve">e Motion carried. </w:t>
      </w:r>
    </w:p>
    <w:p w:rsidR="00C642FE" w:rsidRDefault="00911DF7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C642FE" w:rsidRDefault="00C642FE">
      <w:pPr>
        <w:ind w:left="-720"/>
        <w:rPr>
          <w:sz w:val="16"/>
          <w:szCs w:val="16"/>
        </w:rPr>
      </w:pPr>
    </w:p>
    <w:p w:rsidR="00C642FE" w:rsidRDefault="00911DF7">
      <w:pPr>
        <w:ind w:left="-720"/>
        <w:rPr>
          <w:sz w:val="16"/>
          <w:szCs w:val="16"/>
        </w:rPr>
      </w:pPr>
      <w:r>
        <w:rPr>
          <w:sz w:val="16"/>
          <w:szCs w:val="16"/>
        </w:rPr>
        <w:t>Respectfully Submitted,</w:t>
      </w:r>
    </w:p>
    <w:p w:rsidR="00C642FE" w:rsidRDefault="00911DF7">
      <w:pPr>
        <w:ind w:left="-720"/>
        <w:rPr>
          <w:sz w:val="16"/>
          <w:szCs w:val="16"/>
        </w:rPr>
      </w:pPr>
      <w:r>
        <w:rPr>
          <w:sz w:val="16"/>
          <w:szCs w:val="16"/>
        </w:rPr>
        <w:t xml:space="preserve">Ellen von Schrott, Secretary </w:t>
      </w:r>
    </w:p>
    <w:p w:rsidR="00C642FE" w:rsidRDefault="00C642FE">
      <w:pPr>
        <w:ind w:left="-720"/>
        <w:rPr>
          <w:sz w:val="16"/>
          <w:szCs w:val="16"/>
        </w:rPr>
      </w:pPr>
    </w:p>
    <w:p w:rsidR="00C642FE" w:rsidRDefault="00C642FE"/>
    <w:p w:rsidR="00C642FE" w:rsidRDefault="00C642FE">
      <w:pPr>
        <w:ind w:left="-720"/>
        <w:rPr>
          <w:b/>
          <w:sz w:val="16"/>
          <w:szCs w:val="16"/>
        </w:rPr>
      </w:pPr>
    </w:p>
    <w:sectPr w:rsidR="00C642FE" w:rsidSect="001C4D8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2A3A"/>
    <w:multiLevelType w:val="multilevel"/>
    <w:tmpl w:val="762CF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FE"/>
    <w:rsid w:val="001C4D8E"/>
    <w:rsid w:val="00911DF7"/>
    <w:rsid w:val="00C6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3E18"/>
  <w15:docId w15:val="{6420A83F-FF36-40F7-9EA8-B58296D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Pennie Miller</dc:creator>
  <cp:lastModifiedBy>Pennie Miller</cp:lastModifiedBy>
  <cp:revision>2</cp:revision>
  <dcterms:created xsi:type="dcterms:W3CDTF">2023-09-26T21:58:00Z</dcterms:created>
  <dcterms:modified xsi:type="dcterms:W3CDTF">2023-09-26T21:58:00Z</dcterms:modified>
</cp:coreProperties>
</file>